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Things to discuss with your anesthesiologist and surgeon before any procedure is scheduled for a patient with Tracheobronchomalacia.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Should your procedure be scheduled outpatient or in a hospital setting? (In patients with TBM or complicated airway conditions having an outpatient procedure is more of a risk so hospital setting should be a consideration.)</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What type of anesthesia is safe for patients with complicated airway conditions?  (Always ask. Most anesthesia providers do not recommend light sedation or twilight sedation with patients with TBM. They typically will move to general sedation to manage the airway safely.)</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What is your experience managing a patient who has Tracheobronchomalacia? (This one is important. If a provider has little to no experience with TBM you might need to be prepared to ask the specialist to form a safe care plan for the anesthesiologist to follow.)</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What type of airway devices will be used once I am sedated? (There are different types of airway security options. Each is determined by the anesthesiologist.)</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What is the hospital protocol on managing anesthesia post operative? (Every hospital has its own protocol. It is always recommended to ask for a copy and review them before your procedure.)</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What post operative airway devices will be used to prevent airway closure or collapsing? (Follow your specialist recommendations managing your Tracheobronchomalacia.)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Will you be using muscle relaxants with anesthesia? (Very important to ask. Muscle relaxants  can cause sudden airway collapse, difficulty reversing relaxant, mechanical obstruction and further deteriorate respiratory function.)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Are you coordinating with pulmonary or thoracic surgery to intervene if collapse or complications arise? (Very important to notify your specialist that manages the Tracheobronchomalacia in case any unexpected complications occur and they need to be consulted.)</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Would you allow Non invasive ventilation after withdrawal of anesthesia to wean to room post op? (Knowing how much assistance may be required is very crucial to a successful transition to recovery.)</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Are there specific medications I should start or stop prior to procedure.  (It’s very important you discuss all nebulized  medications with the anesthesiologist  and specialist that is managing the Tracheobronchomalacia.)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